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 de mobilidade para Angola</w:t>
      </w:r>
    </w:p>
    <w:p>
      <w:pPr>
        <w:pStyle w:val="Subtitle"/>
      </w:pPr>
      <w:r>
        <w:t>Visto de trabalho e preparação da deslocação</w:t>
      </w:r>
    </w:p>
    <w:p>
      <w:pPr>
        <w:pStyle w:val="Small"/>
      </w:pPr>
      <w:r>
        <w:t>Use esta lista para preparar o processo com o trabalhador e o empregador. Confirme a lista actual do posto consular ou do SME e active apenas os anexos aplicáveis ao sector, à família e à operação. Uma caixa assinalada significa que existe prova conferida.</w:t>
      </w:r>
    </w:p>
    <w:p>
      <w:pPr>
        <w:pStyle w:val="Small"/>
        <w:spacing w:after="100"/>
      </w:pPr>
      <w:r>
        <w:t>Trabalhador  ____________________________   Nacionalidade  __________________</w:t>
      </w:r>
    </w:p>
    <w:p>
      <w:pPr>
        <w:pStyle w:val="Small"/>
        <w:spacing w:after="100"/>
      </w:pPr>
      <w:r>
        <w:t>Empregador  ____________________________   Função  ________________________</w:t>
      </w:r>
    </w:p>
    <w:p>
      <w:pPr>
        <w:pStyle w:val="Small"/>
        <w:spacing w:after="100"/>
      </w:pPr>
      <w:r>
        <w:t>Posto ou entidade  ________________________   Entrada prevista  ____ / ____ / ______</w:t>
      </w:r>
    </w:p>
    <w:p>
      <w:pPr>
        <w:pStyle w:val="Heading2"/>
      </w:pPr>
      <w:r>
        <w:t>1  Confirmar o percurso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Identificar a finalidade real da viagem, a actividade, o empregador e o local de trabalho.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Confirmar o posto competente e a via consular. Se já está em Angola, registar o título actual e obter o enquadramento da via territorial antes de iniciar funções.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Distinguir pedido inicial, prorrogação e transformação. Turismo ou curta duração não conferem autorização geral para trabalhar.</w:t>
      </w:r>
    </w:p>
    <w:p>
      <w:pPr>
        <w:pStyle w:val="Heading2"/>
      </w:pPr>
      <w:r>
        <w:t>2  Reunir os documentos do trabalhador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Passaporte e cópias das páginas exigidas; conferir validade, identificação e coerência dos nomes em todos os documentos.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Requerimento, formulário e fotografias no formato indicado pelo posto competente.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Contrato ou contrato-promessa, CV e certificados de habilitações e qualificações aplicáveis.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Registo criminal emitido pela autoridade competente, com validade e país de emissão aceites.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Atestado médico e documento de vacinação, conforme as instruções aplicáveis ao pedido e à entrada.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Prova de alojamento e meios de subsistência na forma aceite pela entidade receptora.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Declaração de compromisso de respeito pelas leis angolanas; modelo oficial, quando exigido.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Reserva ou bilhete, comprovativo do acto migratório e demais anexos da lista do posto; confirmar o momento de compra da viagem.</w:t>
      </w:r>
    </w:p>
    <w:p>
      <w:pPr>
        <w:pStyle w:val="Source"/>
      </w:pPr>
      <w:r>
        <w:t>Bases: Lei n.º 13/19, artigos 55.º, 61.º e 68.º; Decreto Presidencial n.º 163/20. A lista consular varia com o posto. Exemplo oficial consultado em 13 de Outubro de 2026:</w:t>
        <w:br/>
      </w:r>
      <w:hyperlink r:id="rId11">
        <w:r>
          <w:rPr>
            <w:color w:val="273F50"/>
            <w:sz w:val="17"/>
          </w:rPr>
          <w:t>https://brasil.mirex.gov.ao/web/actos/143/visto-de-trabalho</w:t>
        </w:r>
      </w:hyperlink>
    </w:p>
    <w:p>
      <w:r>
        <w:br w:type="page"/>
      </w:r>
    </w:p>
    <w:p>
      <w:pPr>
        <w:pStyle w:val="Heading1"/>
      </w:pPr>
      <w:r>
        <w:t>3  Empregador e formalidades documentais</w:t>
      </w:r>
    </w:p>
    <w:p>
      <w:r>
        <w:t>O enquadramento da empresa, o parecer para o visto e o registo do contrato são verificações distintas. Guarde os comprovativos de cada uma no mesmo processo.</w:t>
      </w:r>
    </w:p>
    <w:p>
      <w:pPr>
        <w:pStyle w:val="Heading2"/>
      </w:pPr>
      <w:r>
        <w:t>Documentos e responsabilidades da empresa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Reunir identificação e representação da empresa, NIF, registo comercial, publicação e título habilitante da actividade, conforme a lista aplicável.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Confirmar o departamento ministerial da tutela e instruir o pedido de parecer com os anexos do sector.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Documentar a publicação da vaga e o resultado do recrutamento nacional exigidos pelo processo; conservar página, data e factura do jornal.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Conferir regularidade fiscal e contributiva e os comprovativos pedidos para concessão ou prorrogação.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Verificar as condições de contratação do estrangeiro não residente e o compromisso de regresso com reconhecimento notarial, quando abrangido pelo artigo 6.º do Decreto Presidencial n.º 49/25.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Programar o registo do contrato no Centro de Emprego competente, incluindo renovações e adendas; o artigo 8.º prevê a entrada do requerimento até 30 dias após o início da actividade.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Confirmar com o SME a caução de repatriamento, eventual isenção, beneficiários, montante, depósito e documentação para a futura devolução.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Se houver investimento registado, identificar projecto, CRIP e relação do trabalhador com o investimento; confirmar com a AIPEX o apoio aplicável.</w:t>
      </w:r>
    </w:p>
    <w:p>
      <w:pPr>
        <w:pStyle w:val="Heading2"/>
      </w:pPr>
      <w:r>
        <w:t>Cadeia de reconhecimento e autenticação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Listar, por documento, original ou cópia, tradução, reconhecimento de assinatura, autenticação e legalização exigidos, com a ordem das etapas.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Confirmar entidade competente, presença do requerente, prazo de validade e forma de entrega. Não presumir que uma apostila ou carimbo isolado conclui o percurso.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Conferir nomes, datas, números e traduções antes de pagar; digitalizar os documentos concluídos e guardar recibos e originais.</w:t>
      </w:r>
    </w:p>
    <w:p>
      <w:pPr>
        <w:pStyle w:val="Source"/>
      </w:pPr>
      <w:r>
        <w:t>Bases: Decreto Presidencial n.º 163/20, artigos 37.º a 41.º; Decreto Presidencial n.º 49/25, artigos 6.º, 8.º e 9.º. Formalidades consulares de referência:</w:t>
      </w:r>
    </w:p>
    <w:p>
      <w:pPr>
        <w:pStyle w:val="Source"/>
      </w:pPr>
      <w:r>
        <w:t>Consulado em Lisboa, reconhecimento de assinaturas</w:t>
        <w:br/>
      </w:r>
      <w:hyperlink r:id="rId12">
        <w:r>
          <w:rPr>
            <w:color w:val="273F50"/>
            <w:sz w:val="17"/>
          </w:rPr>
          <w:t>https://consuladogeral-angola.pt/servicos/reconhecimento-de-assinaturas/</w:t>
        </w:r>
      </w:hyperlink>
    </w:p>
    <w:p>
      <w:pPr>
        <w:pStyle w:val="Source"/>
      </w:pPr>
      <w:r>
        <w:t>Consulado em Lisboa, autenticação de documentos</w:t>
        <w:br/>
      </w:r>
      <w:hyperlink r:id="rId13">
        <w:r>
          <w:rPr>
            <w:color w:val="273F50"/>
            <w:sz w:val="17"/>
          </w:rPr>
          <w:t>https://consuladogeral-angola.pt/servicos/autenticacao-de-documentos/</w:t>
        </w:r>
      </w:hyperlink>
    </w:p>
    <w:p>
      <w:r>
        <w:br w:type="page"/>
      </w:r>
    </w:p>
    <w:p>
      <w:pPr>
        <w:pStyle w:val="Heading1"/>
      </w:pPr>
      <w:r>
        <w:t>4  Anexos condicionais por sector</w:t>
      </w:r>
    </w:p>
    <w:p>
      <w:r>
        <w:t>Seleccione o sector da actividade efectiva. Esta página orienta as verificações adicionais: as licenças da empresa, as habilitações profissionais e os requisitos do operador não são uma lista universal de documentos de visto.</w:t>
      </w:r>
    </w:p>
    <w:p>
      <w:pPr>
        <w:pStyle w:val="Heading2"/>
      </w:pPr>
      <w:r>
        <w:t>Petróleo e gás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Confirmar a categoria da empresa no SIASP. Para empresas estrangeiras, verificar Contrato-Programa e PDRH vigente; para nacionais, registo no sector e acesso aprovado.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Obter a lista de anexos do parecer de visto e relacionar função, projecto e empregador; se houver embarque, completar a página offshore.</w:t>
      </w:r>
    </w:p>
    <w:p>
      <w:pPr>
        <w:pStyle w:val="Heading2"/>
      </w:pPr>
      <w:r>
        <w:t>Construção e obras públicas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Conferir no IRCOP o título aplicável à actividade da empresa, incluindo construção, projecto ou fiscalização, bem como a habilitação profissional exigível à função.</w:t>
      </w:r>
    </w:p>
    <w:p>
      <w:pPr>
        <w:pStyle w:val="Heading2"/>
      </w:pPr>
      <w:r>
        <w:t>Saúde e profissões clínicas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Para médicos, verificar reconhecimento das qualificações pelo INAAREES e inscrição na Ordem dos Médicos. Para outras profissões de saúde, confirmar a entidade e o regime próprios.</w:t>
      </w:r>
    </w:p>
    <w:p>
      <w:pPr>
        <w:pStyle w:val="Heading2"/>
      </w:pPr>
      <w:r>
        <w:t>Telecomunicações e serviços postais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Confirmar registo ou licenciamento no INACOM conforme o serviço prestado. Verificar, se aplicável, autorizações de equipamentos e requisitos da função técnica.</w:t>
      </w:r>
    </w:p>
    <w:p>
      <w:pPr>
        <w:pStyle w:val="Heading2"/>
      </w:pPr>
      <w:r>
        <w:t>Mineração energia transportes e indústria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Pedir à tutela ou regulador a lista aplicável à actividade e ao projecto. Conferir licenças operacionais, qualificações, aptidão e segurança apenas quando exigíveis ao caso.</w:t>
      </w:r>
    </w:p>
    <w:p>
      <w:pPr>
        <w:pStyle w:val="Heading2"/>
      </w:pPr>
      <w:r>
        <w:t>Educação finanças comércio e outros serviços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Identificar a tutela, o regulador e eventual ordem profissional; confirmar reconhecimento de qualificações, licença da entidade e anexos do parecer para a função concreta.</w:t>
      </w:r>
    </w:p>
    <w:p>
      <w:pPr>
        <w:pStyle w:val="Small"/>
      </w:pPr>
      <w:r>
        <w:t>Sector e entidade confirmados  __________________________________________________</w:t>
      </w:r>
    </w:p>
    <w:p>
      <w:pPr>
        <w:pStyle w:val="Small"/>
      </w:pPr>
      <w:r>
        <w:t>Documento adicional ou pendência  ______________________________________________</w:t>
      </w:r>
    </w:p>
    <w:p>
      <w:pPr>
        <w:pStyle w:val="Source"/>
      </w:pPr>
      <w:r>
        <w:t>Fontes sectoriais consultadas em 13 de Outubro de 2026</w:t>
      </w:r>
    </w:p>
    <w:p>
      <w:pPr>
        <w:pStyle w:val="Source"/>
      </w:pPr>
      <w:r>
        <w:t>MIREMPET e SIASP, pedidos de pareceres de vistos</w:t>
        <w:br/>
      </w:r>
      <w:hyperlink r:id="rId14">
        <w:r>
          <w:rPr>
            <w:color w:val="273F50"/>
            <w:sz w:val="17"/>
          </w:rPr>
          <w:t>https://siasp.gov.ao/ao/gca/index.php?id=37</w:t>
        </w:r>
      </w:hyperlink>
    </w:p>
    <w:p>
      <w:pPr>
        <w:pStyle w:val="Source"/>
      </w:pPr>
      <w:r>
        <w:t>IRCOP, títulos e alvarás</w:t>
        <w:br/>
      </w:r>
      <w:hyperlink r:id="rId15">
        <w:r>
          <w:rPr>
            <w:color w:val="273F50"/>
            <w:sz w:val="17"/>
          </w:rPr>
          <w:t>https://ircop.gov.ao/nossos-servicos/</w:t>
        </w:r>
      </w:hyperlink>
    </w:p>
    <w:p>
      <w:pPr>
        <w:pStyle w:val="Source"/>
      </w:pPr>
      <w:r>
        <w:t>INACOM, licenciamentos</w:t>
        <w:br/>
      </w:r>
      <w:hyperlink r:id="rId16">
        <w:r>
          <w:rPr>
            <w:color w:val="273F50"/>
            <w:sz w:val="17"/>
          </w:rPr>
          <w:t>https://inacom.gov.ao/services-licenciamento/</w:t>
        </w:r>
      </w:hyperlink>
    </w:p>
    <w:p>
      <w:pPr>
        <w:pStyle w:val="Source"/>
      </w:pPr>
      <w:r>
        <w:t>Ordem dos Médicos, exercício profissional e inscrição</w:t>
        <w:br/>
      </w:r>
      <w:hyperlink r:id="rId17">
        <w:r>
          <w:rPr>
            <w:color w:val="273F50"/>
            <w:sz w:val="17"/>
          </w:rPr>
          <w:t>https://www.ordemdosmedicos.ao/sobre</w:t>
        </w:r>
      </w:hyperlink>
    </w:p>
    <w:p>
      <w:r>
        <w:br w:type="page"/>
      </w:r>
    </w:p>
    <w:p>
      <w:pPr>
        <w:pStyle w:val="Heading1"/>
      </w:pPr>
      <w:r>
        <w:t>5  Mobilização offshore</w:t>
      </w:r>
    </w:p>
    <w:p>
      <w:r>
        <w:t>Active esta página quando houver deslocação a instalação ou embarcação offshore. A função real, a categoria a bordo e o transporte determinam as verificações. Um certificado de segurança ou um documento de marítimo não substitui o título migratório aplicável.</w:t>
      </w:r>
    </w:p>
    <w:p>
      <w:pPr>
        <w:pStyle w:val="Small"/>
      </w:pPr>
      <w:r>
        <w:t>Função  __________________________   Instalação ou navio  _________________________</w:t>
      </w:r>
    </w:p>
    <w:p>
      <w:pPr>
        <w:pStyle w:val="Small"/>
      </w:pPr>
      <w:r>
        <w:t>Operador  ________________________   Embarque e rotação  ________________________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Confirmar empregador, contrato, função, remuneração, rotação e responsável pela mobilização.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Validar visto ou título adequado à actividade, às entradas previstas e às datas da rotação. Uma tarefa curta não determina, por si só, uma dispensa de visto.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Se houver assistência técnica urgente, documentar a situação e obter confirmação do enquadramento com o SME. Não presumir a aplicação do visto de fronteira a rotações regulares.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Distinguir tripulante de navio, técnico, trabalhador de plataforma e visitante; confirmar com a Agência Marítima Nacional ou Capitania os documentos e actos marítimos aplicáveis.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Confirmar com o operador a aptidão médica aceite, entidade emissora, validade e exames exigidos para a função.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Obter a lista de formação aceite para instalação e transporte, incluindo a variante de BOSIET ou T-BOSIET, HUET ou actualização, quando exigidos; confirmar centro e certificado antes de pagar.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Para funções marítimas, confirmar certificação profissional e STCW aplicáveis. Não tratar STCW e formação de segurança offshore como equivalentes.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Concluir indução, equipamentos de protecção, identificação, autorização de acesso e reservas ou manifesto exigidos pela operação.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Assegurar transporte, alojamento e alimentação em terra, contactos de emergência e resposta a cancelamento, doença, atraso ou necessidade de regresso.</w:t>
      </w:r>
    </w:p>
    <w:p>
      <w:pPr>
        <w:pStyle w:val="Heading2"/>
      </w:pPr>
      <w:r>
        <w:t>Controlar as validades antes do embarque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105" w:type="dxa"/>
          <w:right w:w="105" w:type="dxa"/>
        </w:tblCellMar>
      </w:tblPr>
      <w:tblGrid>
        <w:gridCol w:w="5011"/>
        <w:gridCol w:w="2419"/>
        <w:gridCol w:w="2736"/>
      </w:tblGrid>
      <w:tr>
        <w:trPr>
          <w:tblHeader/>
        </w:trPr>
        <w:tc>
          <w:tcPr>
            <w:tcW w:type="dxa" w:w="5011"/>
            <w:shd w:fill="182D3D"/>
            <w:vAlign w:val="center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19"/>
              </w:rPr>
              <w:t>Documento ou autorização</w:t>
            </w:r>
          </w:p>
        </w:tc>
        <w:tc>
          <w:tcPr>
            <w:tcW w:type="dxa" w:w="2419"/>
            <w:shd w:fill="182D3D"/>
            <w:vAlign w:val="center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19"/>
              </w:rPr>
              <w:t>Validade</w:t>
            </w:r>
          </w:p>
        </w:tc>
        <w:tc>
          <w:tcPr>
            <w:tcW w:type="dxa" w:w="2736"/>
            <w:shd w:fill="182D3D"/>
            <w:vAlign w:val="center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19"/>
              </w:rPr>
              <w:t>Conferido por</w:t>
            </w:r>
          </w:p>
        </w:tc>
      </w:tr>
      <w:tr>
        <w:trPr>
          <w:cantSplit/>
        </w:trPr>
        <w:tc>
          <w:tcPr>
            <w:tcW w:type="dxa" w:w="5011"/>
            <w:vAlign w:val="center"/>
            <w:shd w:fill="F3F6F8"/>
          </w:tcPr>
          <w:p>
            <w:pPr>
              <w:spacing w:after="0" w:line="252" w:lineRule="auto"/>
            </w:pPr>
            <w:r>
              <w:rPr>
                <w:sz w:val="19"/>
              </w:rPr>
              <w:t>Passaporte e título migratório</w:t>
            </w:r>
          </w:p>
        </w:tc>
        <w:tc>
          <w:tcPr>
            <w:tcW w:type="dxa" w:w="2419"/>
            <w:vAlign w:val="center"/>
            <w:shd w:fill="F3F6F8"/>
          </w:tcPr>
          <w:p>
            <w:pPr>
              <w:spacing w:after="0" w:line="252" w:lineRule="auto"/>
            </w:pPr>
            <w:r>
              <w:rPr>
                <w:sz w:val="19"/>
              </w:rPr>
              <w:t>____ / ____ / ____</w:t>
            </w:r>
          </w:p>
        </w:tc>
        <w:tc>
          <w:tcPr>
            <w:tcW w:type="dxa" w:w="2736"/>
            <w:vAlign w:val="center"/>
            <w:shd w:fill="F3F6F8"/>
          </w:tcPr>
          <w:p>
            <w:pPr>
              <w:spacing w:after="0" w:line="252" w:lineRule="auto"/>
            </w:pPr>
            <w:r>
              <w:rPr>
                <w:sz w:val="19"/>
              </w:rPr>
              <w:t>________________</w:t>
            </w:r>
          </w:p>
        </w:tc>
      </w:tr>
      <w:tr>
        <w:trPr>
          <w:cantSplit/>
        </w:trPr>
        <w:tc>
          <w:tcPr>
            <w:tcW w:type="dxa" w:w="5011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sz w:val="19"/>
              </w:rPr>
              <w:t>Aptidão médica</w:t>
            </w:r>
          </w:p>
        </w:tc>
        <w:tc>
          <w:tcPr>
            <w:tcW w:type="dxa" w:w="2419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sz w:val="19"/>
              </w:rPr>
              <w:t>____ / ____ / ____</w:t>
            </w:r>
          </w:p>
        </w:tc>
        <w:tc>
          <w:tcPr>
            <w:tcW w:type="dxa" w:w="2736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sz w:val="19"/>
              </w:rPr>
              <w:t>________________</w:t>
            </w:r>
          </w:p>
        </w:tc>
      </w:tr>
      <w:tr>
        <w:trPr>
          <w:cantSplit/>
        </w:trPr>
        <w:tc>
          <w:tcPr>
            <w:tcW w:type="dxa" w:w="5011"/>
            <w:vAlign w:val="center"/>
            <w:shd w:fill="F3F6F8"/>
          </w:tcPr>
          <w:p>
            <w:pPr>
              <w:spacing w:after="0" w:line="252" w:lineRule="auto"/>
            </w:pPr>
            <w:r>
              <w:rPr>
                <w:sz w:val="19"/>
              </w:rPr>
              <w:t>Formação e certificados</w:t>
            </w:r>
          </w:p>
        </w:tc>
        <w:tc>
          <w:tcPr>
            <w:tcW w:type="dxa" w:w="2419"/>
            <w:vAlign w:val="center"/>
            <w:shd w:fill="F3F6F8"/>
          </w:tcPr>
          <w:p>
            <w:pPr>
              <w:spacing w:after="0" w:line="252" w:lineRule="auto"/>
            </w:pPr>
            <w:r>
              <w:rPr>
                <w:sz w:val="19"/>
              </w:rPr>
              <w:t>____ / ____ / ____</w:t>
            </w:r>
          </w:p>
        </w:tc>
        <w:tc>
          <w:tcPr>
            <w:tcW w:type="dxa" w:w="2736"/>
            <w:vAlign w:val="center"/>
            <w:shd w:fill="F3F6F8"/>
          </w:tcPr>
          <w:p>
            <w:pPr>
              <w:spacing w:after="0" w:line="252" w:lineRule="auto"/>
            </w:pPr>
            <w:r>
              <w:rPr>
                <w:sz w:val="19"/>
              </w:rPr>
              <w:t>________________</w:t>
            </w:r>
          </w:p>
        </w:tc>
      </w:tr>
      <w:tr>
        <w:trPr>
          <w:cantSplit/>
        </w:trPr>
        <w:tc>
          <w:tcPr>
            <w:tcW w:type="dxa" w:w="5011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sz w:val="19"/>
              </w:rPr>
              <w:t>Acesso e documentos marítimos aplicáveis</w:t>
            </w:r>
          </w:p>
        </w:tc>
        <w:tc>
          <w:tcPr>
            <w:tcW w:type="dxa" w:w="2419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sz w:val="19"/>
              </w:rPr>
              <w:t>____ / ____ / ____</w:t>
            </w:r>
          </w:p>
        </w:tc>
        <w:tc>
          <w:tcPr>
            <w:tcW w:type="dxa" w:w="2736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sz w:val="19"/>
              </w:rPr>
              <w:t>________________</w:t>
            </w:r>
          </w:p>
        </w:tc>
      </w:tr>
    </w:tbl>
    <w:p>
      <w:pPr>
        <w:spacing w:after="40"/>
      </w:pPr>
      <w:r/>
    </w:p>
    <w:p>
      <w:pPr>
        <w:pStyle w:val="Source"/>
      </w:pPr>
      <w:r>
        <w:t>Bases: Lei n.º 13/19, artigos 52.º, 55.º e 60.º; Decreto Presidencial n.º 163/20. Referências técnicas e institucionais:</w:t>
      </w:r>
    </w:p>
    <w:p>
      <w:pPr>
        <w:pStyle w:val="Source"/>
      </w:pPr>
      <w:r>
        <w:t>Agência Marítima Nacional, atribuições e pessoal do mar</w:t>
        <w:br/>
      </w:r>
      <w:hyperlink r:id="rId18">
        <w:r>
          <w:rPr>
            <w:color w:val="273F50"/>
            <w:sz w:val="17"/>
          </w:rPr>
          <w:t>https://amn.gov.ao/web/estrutura-organica</w:t>
        </w:r>
      </w:hyperlink>
    </w:p>
    <w:p>
      <w:pPr>
        <w:pStyle w:val="Source"/>
      </w:pPr>
      <w:r>
        <w:t>OPITO, normas e qualificações offshore</w:t>
        <w:br/>
      </w:r>
      <w:hyperlink r:id="rId19">
        <w:r>
          <w:rPr>
            <w:color w:val="273F50"/>
            <w:sz w:val="17"/>
          </w:rPr>
          <w:t>https://opito.com/standards-and-qualifications/industry-standards-library</w:t>
        </w:r>
      </w:hyperlink>
    </w:p>
    <w:p>
      <w:r>
        <w:br w:type="page"/>
      </w:r>
    </w:p>
    <w:p>
      <w:pPr>
        <w:pStyle w:val="Heading1"/>
      </w:pPr>
      <w:r>
        <w:t>6  Família alojamento e condições de vida</w:t>
      </w:r>
    </w:p>
    <w:p>
      <w:r>
        <w:t>Prepare um processo por pessoa e registe o que será assegurado pelo empregador, pelo trabalhador ou pela família. A prova de alojamento pode integrar o pedido de visto; a preparação da vida quotidiana inclui também compromissos contratuais e escolhas operacionais.</w:t>
      </w:r>
    </w:p>
    <w:p>
      <w:pPr>
        <w:pStyle w:val="Heading2"/>
      </w:pPr>
      <w:r>
        <w:t>Família e permanência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Definir visita, acompanhamento ou residência e confirmar o fundamento do pedido, a entidade competente e a situação do familiar em Angola.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Reunir passaportes, formulários, fotografias, prova da relação familiar e título do familiar em Angola; verificar criminal, saúde e demais anexos por pessoa e idade.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Para menores, confirmar autorizações dos progenitores, guarda ou tutela. Preparar traduções e legalizações das certidões, quando exigidas.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Confirmar alojamento, subsistência e declaração de respeito pelas leis conforme a lista do posto ou SME.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Se um familiar pretende trabalhar, confirmar a base da permanência temporária e os procedimentos laborais. O artigo 56.º, n.º 6, da Lei n.º 13/19 abrange determinadas categorias, incluindo fundamentos familiares.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Registar validade e próximo acto por pessoa. Confirmar com o SME a passagem para residência aplicável ao caso, sem presumir um prazo universal de conversão.</w:t>
      </w:r>
    </w:p>
    <w:p>
      <w:pPr>
        <w:pStyle w:val="Heading2"/>
      </w:pPr>
      <w:r>
        <w:t>Acolhimento e orçamento de vida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Conferir morada, contrato ou termo de alojamento, adequação da habitação, segurança e acesso a água e energia.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Definir recepção, transporte diário, alimentação, comunicações e forma de pagamento das despesas.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Confirmar cobertura de saúde, locais de atendimento, contactos de emergência, medicação e necessidades específicas.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Planear escola ou cuidados dos dependentes, quando aplicável, e a logística de deslocação familiar.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Registar cobertura do empregador, limites, depósitos, despesas mensais e tratamento dos custos no fim do contrato.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Definir quem acompanha alterações familiares, fim do vínculo, saída e pedidos de devolução das garantias.</w:t>
      </w:r>
    </w:p>
    <w:p>
      <w:pPr>
        <w:pStyle w:val="Small"/>
      </w:pPr>
      <w:r>
        <w:t>Pendência principal  __________________________________________________________</w:t>
      </w:r>
    </w:p>
    <w:p>
      <w:pPr>
        <w:pStyle w:val="Small"/>
      </w:pPr>
      <w:r>
        <w:t>Responsável  __________________________   Próxima verificação  ____ / ____ / ______</w:t>
      </w:r>
    </w:p>
    <w:p>
      <w:pPr>
        <w:pStyle w:val="Source"/>
      </w:pPr>
      <w:r>
        <w:t>Bases: Lei n.º 13/19, artigo 56.º; Decreto Presidencial n.º 163/20, artigo 51.º; Decreto Presidencial n.º 49/25, artigo 8.º. Lista consular de referência:</w:t>
      </w:r>
    </w:p>
    <w:p>
      <w:pPr>
        <w:pStyle w:val="Source"/>
      </w:pPr>
      <w:r>
        <w:t>Embaixada de Angola no Brasil, permanência temporária. Consulta em 13 de Outubro de 2026.</w:t>
        <w:br/>
      </w:r>
      <w:hyperlink r:id="rId20">
        <w:r>
          <w:rPr>
            <w:color w:val="273F50"/>
            <w:sz w:val="17"/>
          </w:rPr>
          <w:t>https://brasil.mirex.gov.ao/web/actos/144/visto-de-permanencia-temporaria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979" w:right="1037" w:bottom="922" w:left="1037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166" w:val="right"/>
      </w:tabs>
    </w:pPr>
    <w:r>
      <w:rPr>
        <w:color w:val="555555"/>
        <w:sz w:val="16"/>
      </w:rPr>
      <w:t>13 de Outubro de 2026  |  Checklist de mobilidade</w:t>
      <w:tab/>
    </w:r>
    <w:fldSimple w:instr="PAGE">
      <w:r>
        <w:rPr>
          <w:sz w:val="16"/>
          <w:color w:val="555555"/>
        </w:rPr>
        <w:t>1</w:t>
      </w:r>
    </w:fldSimple>
    <w:r>
      <w:rPr>
        <w:sz w:val="16"/>
      </w:rPr>
      <w:t xml:space="preserve"> / </w:t>
    </w:r>
    <w:fldSimple w:instr="NUMPAGES">
      <w:r>
        <w:rPr>
          <w:sz w:val="16"/>
          <w:color w:val="555555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166" w:val="right"/>
      </w:tabs>
    </w:pPr>
    <w:r>
      <w:rPr>
        <w:b/>
        <w:color w:val="000000"/>
        <w:sz w:val="18"/>
      </w:rPr>
      <w:t>AKIU ONE</w:t>
    </w:r>
    <w:r>
      <w:rPr>
        <w:color w:val="000000"/>
        <w:sz w:val="16"/>
      </w:rPr>
      <w:tab/>
      <w:t>MOBILIDADE EM ANGOLA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20"/>
    </w:pPr>
    <w:rPr>
      <w:rFonts w:ascii="Arial" w:hAnsi="Arial"/>
      <w:b w:val="0"/>
      <w:color w:val="000000"/>
      <w:sz w:val="22"/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  <w:rFonts w:ascii="Arial" w:hAnsi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  <w:rFonts w:ascii="Arial" w:hAnsi="Ari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  <w:rFonts w:ascii="Arial" w:hAnsi="Arial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40"/>
    </w:pPr>
    <w:rPr>
      <w:rFonts w:asciiTheme="majorHAnsi" w:eastAsiaTheme="majorEastAsia" w:hAnsiTheme="majorHAnsi" w:cstheme="majorBidi" w:ascii="Arial" w:hAnsi="Arial"/>
      <w:b w:val="0"/>
      <w:i/>
      <w:iCs/>
      <w:color w:val="000000"/>
      <w:spacing w:val="15"/>
      <w:sz w:val="22"/>
      <w:szCs w:val="24"/>
      <w:rFonts w:ascii="Arial" w:hAnsi="Arial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line="264" w:lineRule="auto" w:after="80"/>
    </w:pPr>
    <w:rPr>
      <w:rFonts w:ascii="Arial" w:hAnsi="Arial"/>
      <w:b w:val="0"/>
      <w:color w:val="000000"/>
      <w:sz w:val="18"/>
      <w:rFonts w:ascii="Arial" w:hAnsi="Arial"/>
    </w:rPr>
  </w:style>
  <w:style w:type="paragraph" w:customStyle="1" w:styleId="Source">
    <w:name w:val="Source"/>
    <w:pPr>
      <w:spacing w:line="264" w:lineRule="auto" w:after="80"/>
    </w:pPr>
    <w:rPr>
      <w:rFonts w:ascii="Arial" w:hAnsi="Arial"/>
      <w:b w:val="0"/>
      <w:color w:val="000000"/>
      <w:sz w:val="16"/>
      <w:rFonts w:ascii="Arial" w:hAnsi="Arial"/>
    </w:rPr>
  </w:style>
  <w:style w:type="paragraph" w:customStyle="1" w:styleId="Check">
    <w:name w:val="Check"/>
    <w:pPr>
      <w:spacing w:line="264" w:lineRule="auto" w:after="140"/>
      <w:ind w:left="317" w:hanging="317"/>
    </w:pPr>
    <w:rPr>
      <w:rFonts w:ascii="Arial" w:hAnsi="Arial"/>
      <w:b w:val="0"/>
      <w:color w:val="000000"/>
      <w:sz w:val="21"/>
      <w:rFonts w:ascii="Arial" w:hAnsi="Aria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brasil.mirex.gov.ao/web/actos/143/visto-de-trabalho" TargetMode="External"/><Relationship Id="rId12" Type="http://schemas.openxmlformats.org/officeDocument/2006/relationships/hyperlink" Target="https://consuladogeral-angola.pt/servicos/reconhecimento-de-assinaturas/" TargetMode="External"/><Relationship Id="rId13" Type="http://schemas.openxmlformats.org/officeDocument/2006/relationships/hyperlink" Target="https://consuladogeral-angola.pt/servicos/autenticacao-de-documentos/" TargetMode="External"/><Relationship Id="rId14" Type="http://schemas.openxmlformats.org/officeDocument/2006/relationships/hyperlink" Target="https://siasp.gov.ao/ao/gca/index.php?id=37" TargetMode="External"/><Relationship Id="rId15" Type="http://schemas.openxmlformats.org/officeDocument/2006/relationships/hyperlink" Target="https://ircop.gov.ao/nossos-servicos/" TargetMode="External"/><Relationship Id="rId16" Type="http://schemas.openxmlformats.org/officeDocument/2006/relationships/hyperlink" Target="https://inacom.gov.ao/services-licenciamento/" TargetMode="External"/><Relationship Id="rId17" Type="http://schemas.openxmlformats.org/officeDocument/2006/relationships/hyperlink" Target="https://www.ordemdosmedicos.ao/sobre" TargetMode="External"/><Relationship Id="rId18" Type="http://schemas.openxmlformats.org/officeDocument/2006/relationships/hyperlink" Target="https://amn.gov.ao/web/estrutura-organica" TargetMode="External"/><Relationship Id="rId19" Type="http://schemas.openxmlformats.org/officeDocument/2006/relationships/hyperlink" Target="https://opito.com/standards-and-qualifications/industry-standards-library" TargetMode="External"/><Relationship Id="rId20" Type="http://schemas.openxmlformats.org/officeDocument/2006/relationships/hyperlink" Target="https://brasil.mirex.gov.ao/web/actos/144/visto-de-permanencia-tempora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mobilidade</dc:title>
  <dc:subject>Modelos de apoio à mobilidade para Angola</dc:subject>
  <dc:creator>AKIU</dc:creator>
  <cp:keywords>AKIU, Angola, mobilidade, visto de trabalho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